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85"/>
      </w:tblGrid>
      <w:t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17"/>
              </w:rPr>
            </w:pPr>
          </w:p>
        </w:tc>
        <w:tc>
          <w:tcPr>
            <w:tcW w:type="dxa" w:w="918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widowControl w:val="1"/>
              <w:spacing w:after="0" w:line="288" w:lineRule="atLeast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</w:rPr>
              <w:t xml:space="preserve">Даны разъяснения по вопросу </w:t>
            </w:r>
            <w:r>
              <w:rPr>
                <w:rFonts w:ascii="Times New Roman" w:hAnsi="Times New Roman"/>
                <w:b w:val="1"/>
                <w:i w:val="0"/>
                <w:caps w:val="0"/>
                <w:color w:val="000000"/>
                <w:spacing w:val="-4"/>
                <w:sz w:val="28"/>
              </w:rPr>
              <w:t>платы за содержание общего имущества МКД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tbl>
      <w:tblPr>
        <w:tblStyle w:val="Style_1"/>
        <w:tblW w:type="auto" w:w="0"/>
        <w:tblLayout w:type="fixed"/>
      </w:tblPr>
      <w:tblGrid>
        <w:gridCol w:w="200"/>
        <w:gridCol w:w="9175"/>
      </w:tblGrid>
      <w:tr>
        <w:trPr>
          <w:trHeight w:hRule="atLeast" w:val="200"/>
        </w:trPr>
        <w:tc>
          <w:tcPr>
            <w:tcW w:type="dxa" w:w="200"/>
            <w:vAlign w:val="top"/>
          </w:tcPr>
          <w:p w14:paraId="06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9175"/>
            <w:vAlign w:val="center"/>
          </w:tcPr>
          <w:p w14:paraId="07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8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4"/>
        </w:rPr>
        <w:t xml:space="preserve">    </w:t>
      </w:r>
      <w:r>
        <w:rPr>
          <w:rFonts w:ascii="Times New Roman" w:hAnsi="Times New Roman"/>
          <w:b w:val="0"/>
          <w:sz w:val="28"/>
        </w:rPr>
        <w:t xml:space="preserve">  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Письмом Минстроя России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от 06.05.2026 N 27154-ДН/04 &lt;О размере платы за содержание общего имущества МКД</w:t>
      </w:r>
      <w:r>
        <w:rPr>
          <w:rFonts w:ascii="Times New Roman" w:hAnsi="Times New Roman"/>
          <w:b w:val="0"/>
          <w:sz w:val="28"/>
        </w:rPr>
        <w:t xml:space="preserve"> с</w:t>
      </w:r>
      <w:r>
        <w:rPr>
          <w:rFonts w:ascii="Times New Roman" w:hAnsi="Times New Roman"/>
          <w:b w:val="0"/>
          <w:sz w:val="28"/>
        </w:rPr>
        <w:t>ообщается, что основным (первоочередным) способом установления и изменения размера платы за содержание жилого помещения для собственников (всех ее составных частей) на законодательном уровне определено волеизъявление собственников помещений в МКД путем принятия решения об этом на общем собрании. Соблюдение подобной процедуры направлено на защиту прав и законных интересов собственников помещений, а также пресечение необоснованного и произвольного изменения размера платы за содержание жилого помещения со стороны управляющей организации в одностороннем порядке.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Поскольку порядок определения размера платы за содержание общего имущества, а также перечень работ, выполняемых в целях его надлежащего содержания, являются условиями договора управления, при этом изменение условий договора управления о размере платы за содержание общего имущества возможно исключительно по решению общего собрания собственников помещений дома, то условие договора управления о размере платы за содержание общего имущества должно соответствовать решению, принятому на собрании собственников дома. В ином случае оно может быть оспорено по правилам недействительности сделок.</w:t>
      </w:r>
    </w:p>
    <w:p w14:paraId="09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A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200"/>
        <w:gridCol w:w="200"/>
      </w:tblGrid>
      <w:tr>
        <w:tc>
          <w:tcPr>
            <w:tcW w:type="dxa" w:w="200"/>
            <w:vAlign w:val="top"/>
          </w:tcPr>
          <w:p w14:paraId="0B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"/>
            <w:vAlign w:val="center"/>
          </w:tcPr>
          <w:p w14:paraId="0C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0E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F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2026-05-21T11:38:29Z</dcterms:modified>
</cp:coreProperties>
</file>